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65" w:rsidRDefault="002C2F65" w:rsidP="002C2F65">
      <w:pPr>
        <w:suppressAutoHyphens/>
        <w:jc w:val="center"/>
        <w:rPr>
          <w:rFonts w:ascii="Arial" w:hAnsi="Arial"/>
          <w:b/>
          <w:sz w:val="36"/>
        </w:rPr>
      </w:pPr>
      <w:r>
        <w:rPr>
          <w:rFonts w:ascii="Arial" w:hAnsi="Arial"/>
          <w:b/>
          <w:sz w:val="36"/>
        </w:rPr>
        <w:t>Woodlands Hospice Charitable Trust</w:t>
      </w:r>
    </w:p>
    <w:p w:rsidR="002C2F65" w:rsidRDefault="002C2F65" w:rsidP="002C2F65">
      <w:pPr>
        <w:tabs>
          <w:tab w:val="left" w:pos="2410"/>
        </w:tabs>
        <w:suppressAutoHyphens/>
        <w:ind w:left="2410" w:hanging="2410"/>
        <w:rPr>
          <w:rFonts w:ascii="Arial" w:hAnsi="Arial"/>
          <w:b/>
          <w:spacing w:val="-2"/>
          <w:sz w:val="36"/>
        </w:rPr>
      </w:pPr>
    </w:p>
    <w:p w:rsidR="002C2F65" w:rsidRDefault="002C2F65" w:rsidP="002C2F65">
      <w:pPr>
        <w:tabs>
          <w:tab w:val="left" w:pos="2410"/>
        </w:tabs>
        <w:suppressAutoHyphens/>
        <w:ind w:left="2410" w:hanging="2410"/>
        <w:jc w:val="center"/>
        <w:rPr>
          <w:rFonts w:ascii="Arial" w:hAnsi="Arial"/>
          <w:b/>
          <w:sz w:val="32"/>
          <w:u w:val="single"/>
        </w:rPr>
      </w:pPr>
      <w:r>
        <w:rPr>
          <w:rFonts w:ascii="Arial" w:hAnsi="Arial"/>
          <w:b/>
          <w:sz w:val="32"/>
        </w:rPr>
        <w:t xml:space="preserve">JOB DESCRIPTION </w:t>
      </w:r>
    </w:p>
    <w:p w:rsidR="00AE7C7D" w:rsidRDefault="00AE7C7D"/>
    <w:p w:rsidR="002C2F65" w:rsidRDefault="002C2F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410"/>
        <w:gridCol w:w="6015"/>
      </w:tblGrid>
      <w:tr w:rsidR="002C2F65" w:rsidTr="002C2F65">
        <w:tc>
          <w:tcPr>
            <w:tcW w:w="3227" w:type="dxa"/>
            <w:gridSpan w:val="2"/>
          </w:tcPr>
          <w:p w:rsidR="002C2F65" w:rsidRDefault="002C2F65" w:rsidP="002C2F65">
            <w:pPr>
              <w:tabs>
                <w:tab w:val="left" w:pos="2410"/>
              </w:tabs>
              <w:suppressAutoHyphens/>
              <w:rPr>
                <w:rFonts w:ascii="Arial" w:hAnsi="Arial" w:cs="Arial"/>
                <w:b/>
                <w:spacing w:val="-2"/>
              </w:rPr>
            </w:pPr>
            <w:r w:rsidRPr="00EA5263">
              <w:rPr>
                <w:rFonts w:ascii="Arial" w:hAnsi="Arial" w:cs="Arial"/>
                <w:b/>
                <w:spacing w:val="-2"/>
              </w:rPr>
              <w:t>Job title</w:t>
            </w:r>
          </w:p>
          <w:p w:rsidR="002C2F65" w:rsidRDefault="002C2F65"/>
        </w:tc>
        <w:tc>
          <w:tcPr>
            <w:tcW w:w="6015" w:type="dxa"/>
          </w:tcPr>
          <w:p w:rsidR="002C2F65" w:rsidRDefault="002C2F65" w:rsidP="002C2F65">
            <w:pPr>
              <w:tabs>
                <w:tab w:val="left" w:pos="2410"/>
              </w:tabs>
              <w:suppressAutoHyphens/>
              <w:rPr>
                <w:rFonts w:ascii="Arial" w:hAnsi="Arial" w:cs="Arial"/>
                <w:b/>
                <w:spacing w:val="-2"/>
              </w:rPr>
            </w:pPr>
            <w:r>
              <w:rPr>
                <w:rFonts w:ascii="Arial" w:hAnsi="Arial" w:cs="Arial"/>
                <w:b/>
                <w:spacing w:val="-2"/>
              </w:rPr>
              <w:t>Grants Manager</w:t>
            </w:r>
          </w:p>
          <w:p w:rsidR="002C2F65" w:rsidRDefault="002C2F65"/>
        </w:tc>
      </w:tr>
      <w:tr w:rsidR="002C2F65" w:rsidTr="002C2F65">
        <w:tc>
          <w:tcPr>
            <w:tcW w:w="3227" w:type="dxa"/>
            <w:gridSpan w:val="2"/>
          </w:tcPr>
          <w:p w:rsidR="002C2F65" w:rsidRDefault="002C2F65">
            <w:pPr>
              <w:rPr>
                <w:rFonts w:ascii="Arial" w:hAnsi="Arial" w:cs="Arial"/>
                <w:b/>
                <w:spacing w:val="-2"/>
              </w:rPr>
            </w:pPr>
            <w:r>
              <w:rPr>
                <w:rFonts w:ascii="Arial" w:hAnsi="Arial" w:cs="Arial"/>
                <w:b/>
                <w:spacing w:val="-2"/>
              </w:rPr>
              <w:t>Hours of Duty</w:t>
            </w:r>
          </w:p>
          <w:p w:rsidR="002C2F65" w:rsidRDefault="002C2F65"/>
        </w:tc>
        <w:tc>
          <w:tcPr>
            <w:tcW w:w="6015" w:type="dxa"/>
          </w:tcPr>
          <w:p w:rsidR="002C2F65" w:rsidRDefault="00C42DA0" w:rsidP="005B663A">
            <w:r>
              <w:rPr>
                <w:rFonts w:ascii="Arial" w:hAnsi="Arial" w:cs="Arial"/>
                <w:b/>
                <w:spacing w:val="-2"/>
              </w:rPr>
              <w:t>37.5</w:t>
            </w:r>
            <w:r w:rsidR="002C2F65">
              <w:rPr>
                <w:rFonts w:ascii="Arial" w:hAnsi="Arial" w:cs="Arial"/>
                <w:b/>
                <w:spacing w:val="-2"/>
              </w:rPr>
              <w:t xml:space="preserve"> hours per week </w:t>
            </w:r>
            <w:r w:rsidR="005B663A">
              <w:rPr>
                <w:rFonts w:ascii="Arial" w:hAnsi="Arial" w:cs="Arial"/>
                <w:b/>
                <w:spacing w:val="-2"/>
              </w:rPr>
              <w:t>(37.5</w:t>
            </w:r>
            <w:r w:rsidR="002C2F65">
              <w:rPr>
                <w:rFonts w:ascii="Arial" w:hAnsi="Arial" w:cs="Arial"/>
                <w:b/>
                <w:spacing w:val="-2"/>
              </w:rPr>
              <w:t xml:space="preserve"> WTE)</w:t>
            </w:r>
          </w:p>
        </w:tc>
      </w:tr>
      <w:tr w:rsidR="002C2F65" w:rsidTr="002C2F65">
        <w:tc>
          <w:tcPr>
            <w:tcW w:w="3227" w:type="dxa"/>
            <w:gridSpan w:val="2"/>
          </w:tcPr>
          <w:p w:rsidR="002C2F65" w:rsidRDefault="002C2F65" w:rsidP="002C2F65">
            <w:pPr>
              <w:tabs>
                <w:tab w:val="left" w:pos="2410"/>
              </w:tabs>
              <w:suppressAutoHyphens/>
              <w:rPr>
                <w:rFonts w:ascii="Arial" w:hAnsi="Arial" w:cs="Arial"/>
                <w:b/>
                <w:spacing w:val="-2"/>
              </w:rPr>
            </w:pPr>
            <w:r w:rsidRPr="00EA5263">
              <w:rPr>
                <w:rFonts w:ascii="Arial" w:hAnsi="Arial" w:cs="Arial"/>
                <w:b/>
                <w:spacing w:val="-2"/>
              </w:rPr>
              <w:t>Base</w:t>
            </w:r>
          </w:p>
          <w:p w:rsidR="002C2F65" w:rsidRDefault="002C2F65"/>
        </w:tc>
        <w:tc>
          <w:tcPr>
            <w:tcW w:w="6015" w:type="dxa"/>
          </w:tcPr>
          <w:p w:rsidR="002C2F65" w:rsidRDefault="002C2F65" w:rsidP="002C2F65">
            <w:pPr>
              <w:tabs>
                <w:tab w:val="left" w:pos="2410"/>
              </w:tabs>
              <w:suppressAutoHyphens/>
              <w:rPr>
                <w:rFonts w:ascii="Arial" w:hAnsi="Arial" w:cs="Arial"/>
                <w:spacing w:val="-2"/>
              </w:rPr>
            </w:pPr>
            <w:r>
              <w:rPr>
                <w:rFonts w:ascii="Arial" w:hAnsi="Arial" w:cs="Arial"/>
                <w:spacing w:val="-2"/>
              </w:rPr>
              <w:t xml:space="preserve">Woodlands Hospice, UHA Campus, </w:t>
            </w:r>
            <w:proofErr w:type="spellStart"/>
            <w:r>
              <w:rPr>
                <w:rFonts w:ascii="Arial" w:hAnsi="Arial" w:cs="Arial"/>
                <w:spacing w:val="-2"/>
              </w:rPr>
              <w:t>Longmoor</w:t>
            </w:r>
            <w:proofErr w:type="spellEnd"/>
            <w:r>
              <w:rPr>
                <w:rFonts w:ascii="Arial" w:hAnsi="Arial" w:cs="Arial"/>
                <w:spacing w:val="-2"/>
              </w:rPr>
              <w:t xml:space="preserve"> Lane, Liverpool L9 7LA</w:t>
            </w:r>
          </w:p>
          <w:p w:rsidR="002C2F65" w:rsidRDefault="002C2F65"/>
        </w:tc>
      </w:tr>
      <w:tr w:rsidR="002C2F65" w:rsidTr="002C2F65">
        <w:tc>
          <w:tcPr>
            <w:tcW w:w="3227" w:type="dxa"/>
            <w:gridSpan w:val="2"/>
          </w:tcPr>
          <w:p w:rsidR="002C2F65" w:rsidRDefault="002C2F65">
            <w:r>
              <w:rPr>
                <w:rFonts w:ascii="Arial" w:hAnsi="Arial" w:cs="Arial"/>
                <w:b/>
                <w:spacing w:val="-2"/>
              </w:rPr>
              <w:t>Salary Band</w:t>
            </w:r>
          </w:p>
        </w:tc>
        <w:tc>
          <w:tcPr>
            <w:tcW w:w="6015" w:type="dxa"/>
          </w:tcPr>
          <w:p w:rsidR="002C2F65" w:rsidRPr="005B25DD" w:rsidRDefault="00DE3EE5" w:rsidP="002C2F65">
            <w:pPr>
              <w:tabs>
                <w:tab w:val="left" w:pos="2410"/>
              </w:tabs>
              <w:suppressAutoHyphens/>
              <w:rPr>
                <w:rFonts w:ascii="Arial" w:hAnsi="Arial" w:cs="Arial"/>
                <w:spacing w:val="-2"/>
              </w:rPr>
            </w:pPr>
            <w:r>
              <w:rPr>
                <w:rFonts w:ascii="Arial" w:hAnsi="Arial" w:cs="Arial"/>
                <w:spacing w:val="-2"/>
              </w:rPr>
              <w:t>£22,738 - £27,489</w:t>
            </w:r>
            <w:r w:rsidR="002C2F65" w:rsidRPr="005B25DD">
              <w:rPr>
                <w:rFonts w:ascii="Arial" w:hAnsi="Arial" w:cs="Arial"/>
                <w:spacing w:val="-2"/>
              </w:rPr>
              <w:t xml:space="preserve"> per annum </w:t>
            </w:r>
          </w:p>
          <w:p w:rsidR="002C2F65" w:rsidRPr="005B25DD" w:rsidRDefault="002C2F65" w:rsidP="002C2F65">
            <w:pPr>
              <w:rPr>
                <w:rFonts w:ascii="Arial" w:hAnsi="Arial" w:cs="Arial"/>
                <w:spacing w:val="-2"/>
              </w:rPr>
            </w:pPr>
            <w:r w:rsidRPr="005B25DD">
              <w:rPr>
                <w:rFonts w:ascii="Arial" w:hAnsi="Arial" w:cs="Arial"/>
                <w:spacing w:val="-2"/>
              </w:rPr>
              <w:t>Woodlands Payscale Points 18-22</w:t>
            </w:r>
          </w:p>
          <w:p w:rsidR="002C2F65" w:rsidRDefault="002C2F65" w:rsidP="002C2F65"/>
        </w:tc>
      </w:tr>
      <w:tr w:rsidR="002C2F65" w:rsidTr="002C2F65">
        <w:tc>
          <w:tcPr>
            <w:tcW w:w="3227" w:type="dxa"/>
            <w:gridSpan w:val="2"/>
          </w:tcPr>
          <w:p w:rsidR="002C2F65" w:rsidRDefault="002C2F65" w:rsidP="002C2F65">
            <w:pPr>
              <w:tabs>
                <w:tab w:val="left" w:pos="2410"/>
              </w:tabs>
              <w:suppressAutoHyphens/>
              <w:rPr>
                <w:rFonts w:ascii="Arial" w:hAnsi="Arial" w:cs="Arial"/>
                <w:b/>
                <w:spacing w:val="-2"/>
              </w:rPr>
            </w:pPr>
            <w:r w:rsidRPr="00EA5263">
              <w:rPr>
                <w:rFonts w:ascii="Arial" w:hAnsi="Arial" w:cs="Arial"/>
                <w:b/>
                <w:spacing w:val="-2"/>
              </w:rPr>
              <w:t>Responsible to</w:t>
            </w:r>
          </w:p>
          <w:p w:rsidR="002C2F65" w:rsidRDefault="002C2F65"/>
        </w:tc>
        <w:tc>
          <w:tcPr>
            <w:tcW w:w="6015" w:type="dxa"/>
          </w:tcPr>
          <w:p w:rsidR="002C2F65" w:rsidRDefault="002C2F65" w:rsidP="002C2F65">
            <w:pPr>
              <w:tabs>
                <w:tab w:val="left" w:pos="2410"/>
              </w:tabs>
              <w:suppressAutoHyphens/>
              <w:rPr>
                <w:rFonts w:ascii="Arial" w:hAnsi="Arial" w:cs="Arial"/>
                <w:bCs/>
                <w:spacing w:val="-2"/>
              </w:rPr>
            </w:pPr>
            <w:r>
              <w:rPr>
                <w:rFonts w:ascii="Arial" w:hAnsi="Arial" w:cs="Arial"/>
                <w:bCs/>
                <w:spacing w:val="-2"/>
              </w:rPr>
              <w:t xml:space="preserve">Head of Income Generation </w:t>
            </w:r>
          </w:p>
          <w:p w:rsidR="002C2F65" w:rsidRDefault="002C2F65"/>
        </w:tc>
      </w:tr>
      <w:tr w:rsidR="002C2F65" w:rsidTr="002C2F65">
        <w:tc>
          <w:tcPr>
            <w:tcW w:w="3227" w:type="dxa"/>
            <w:gridSpan w:val="2"/>
          </w:tcPr>
          <w:p w:rsidR="002C2F65" w:rsidRDefault="002C2F65">
            <w:pPr>
              <w:rPr>
                <w:rFonts w:ascii="Arial" w:hAnsi="Arial" w:cs="Arial"/>
                <w:b/>
                <w:spacing w:val="-2"/>
              </w:rPr>
            </w:pPr>
            <w:r>
              <w:rPr>
                <w:rFonts w:ascii="Arial" w:hAnsi="Arial" w:cs="Arial"/>
                <w:b/>
                <w:spacing w:val="-2"/>
              </w:rPr>
              <w:t>Accountable to</w:t>
            </w:r>
          </w:p>
          <w:p w:rsidR="002C2F65" w:rsidRDefault="002C2F65"/>
        </w:tc>
        <w:tc>
          <w:tcPr>
            <w:tcW w:w="6015" w:type="dxa"/>
          </w:tcPr>
          <w:p w:rsidR="002C2F65" w:rsidRDefault="002C2F65">
            <w:r>
              <w:rPr>
                <w:rFonts w:ascii="Arial" w:hAnsi="Arial" w:cs="Arial"/>
                <w:bCs/>
                <w:spacing w:val="-2"/>
              </w:rPr>
              <w:t>Chief Executive</w:t>
            </w:r>
          </w:p>
        </w:tc>
      </w:tr>
      <w:tr w:rsidR="002C2F65" w:rsidTr="002C2F65">
        <w:tc>
          <w:tcPr>
            <w:tcW w:w="3227" w:type="dxa"/>
            <w:gridSpan w:val="2"/>
          </w:tcPr>
          <w:p w:rsidR="002C2F65" w:rsidRDefault="002C2F65">
            <w:r w:rsidRPr="00EA5263">
              <w:rPr>
                <w:rFonts w:ascii="Arial" w:hAnsi="Arial" w:cs="Arial"/>
                <w:b/>
                <w:spacing w:val="-2"/>
              </w:rPr>
              <w:t>Liaises with</w:t>
            </w:r>
          </w:p>
        </w:tc>
        <w:tc>
          <w:tcPr>
            <w:tcW w:w="6015" w:type="dxa"/>
          </w:tcPr>
          <w:p w:rsidR="002C2F65" w:rsidRDefault="002C2F65" w:rsidP="002C2F65">
            <w:pPr>
              <w:tabs>
                <w:tab w:val="left" w:pos="2410"/>
              </w:tabs>
              <w:suppressAutoHyphens/>
              <w:jc w:val="both"/>
              <w:rPr>
                <w:rFonts w:ascii="Arial" w:hAnsi="Arial" w:cs="Arial"/>
                <w:szCs w:val="24"/>
              </w:rPr>
            </w:pPr>
            <w:r>
              <w:rPr>
                <w:rFonts w:ascii="Arial" w:hAnsi="Arial" w:cs="Arial"/>
                <w:szCs w:val="24"/>
              </w:rPr>
              <w:t>Charitable Grant Making Trusts/Foundations</w:t>
            </w:r>
          </w:p>
          <w:p w:rsidR="002C2F65" w:rsidRDefault="002C2F65" w:rsidP="002C2F65">
            <w:pPr>
              <w:tabs>
                <w:tab w:val="left" w:pos="2410"/>
              </w:tabs>
              <w:suppressAutoHyphens/>
              <w:jc w:val="both"/>
              <w:rPr>
                <w:rFonts w:ascii="Arial" w:hAnsi="Arial" w:cs="Arial"/>
                <w:szCs w:val="24"/>
              </w:rPr>
            </w:pPr>
            <w:r>
              <w:rPr>
                <w:rFonts w:ascii="Arial" w:hAnsi="Arial" w:cs="Arial"/>
                <w:szCs w:val="24"/>
              </w:rPr>
              <w:t>Statutory grant departments</w:t>
            </w:r>
          </w:p>
          <w:p w:rsidR="002C2F65" w:rsidRDefault="002C2F65" w:rsidP="002C2F65">
            <w:pPr>
              <w:tabs>
                <w:tab w:val="left" w:pos="2410"/>
              </w:tabs>
              <w:suppressAutoHyphens/>
              <w:jc w:val="both"/>
              <w:rPr>
                <w:rFonts w:ascii="Arial" w:hAnsi="Arial" w:cs="Arial"/>
                <w:szCs w:val="24"/>
              </w:rPr>
            </w:pPr>
            <w:r>
              <w:rPr>
                <w:rFonts w:ascii="Arial" w:hAnsi="Arial" w:cs="Arial"/>
                <w:szCs w:val="24"/>
              </w:rPr>
              <w:t>External Stakeholders</w:t>
            </w:r>
          </w:p>
          <w:p w:rsidR="002C2F65" w:rsidRDefault="002C2F65" w:rsidP="002C2F65">
            <w:pPr>
              <w:tabs>
                <w:tab w:val="left" w:pos="2410"/>
              </w:tabs>
              <w:suppressAutoHyphens/>
              <w:jc w:val="both"/>
              <w:rPr>
                <w:rFonts w:ascii="Arial" w:hAnsi="Arial" w:cs="Arial"/>
                <w:szCs w:val="24"/>
              </w:rPr>
            </w:pPr>
            <w:r>
              <w:rPr>
                <w:rFonts w:ascii="Arial" w:hAnsi="Arial" w:cs="Arial"/>
                <w:szCs w:val="24"/>
              </w:rPr>
              <w:t>Donors/potential Donors</w:t>
            </w:r>
          </w:p>
          <w:p w:rsidR="002C2F65" w:rsidRDefault="002C2F65" w:rsidP="002C2F65">
            <w:pPr>
              <w:tabs>
                <w:tab w:val="left" w:pos="2410"/>
              </w:tabs>
              <w:suppressAutoHyphens/>
              <w:jc w:val="both"/>
              <w:rPr>
                <w:rFonts w:ascii="Arial" w:hAnsi="Arial" w:cs="Arial"/>
                <w:szCs w:val="24"/>
              </w:rPr>
            </w:pPr>
            <w:r>
              <w:rPr>
                <w:rFonts w:ascii="Arial" w:hAnsi="Arial" w:cs="Arial"/>
                <w:szCs w:val="24"/>
              </w:rPr>
              <w:t>Woodlands Hospice Staff</w:t>
            </w:r>
          </w:p>
          <w:p w:rsidR="002C2F65" w:rsidRDefault="002C2F65" w:rsidP="002C2F65">
            <w:pPr>
              <w:rPr>
                <w:rFonts w:ascii="Arial" w:hAnsi="Arial" w:cs="Arial"/>
                <w:szCs w:val="24"/>
              </w:rPr>
            </w:pPr>
            <w:r>
              <w:rPr>
                <w:rFonts w:ascii="Arial" w:hAnsi="Arial" w:cs="Arial"/>
                <w:szCs w:val="24"/>
              </w:rPr>
              <w:t>Other individuals/organisations the fundraising team deals with in its daily business both internal and external to Woodlands</w:t>
            </w:r>
          </w:p>
          <w:p w:rsidR="002C2F65" w:rsidRDefault="002C2F65" w:rsidP="002C2F65"/>
        </w:tc>
      </w:tr>
      <w:tr w:rsidR="002C2F65" w:rsidTr="005B663A">
        <w:tc>
          <w:tcPr>
            <w:tcW w:w="3227" w:type="dxa"/>
            <w:gridSpan w:val="2"/>
          </w:tcPr>
          <w:p w:rsidR="002C2F65" w:rsidRDefault="002C2F65">
            <w:r w:rsidRPr="00EA5263">
              <w:rPr>
                <w:rFonts w:ascii="Arial" w:hAnsi="Arial"/>
                <w:b/>
                <w:spacing w:val="-2"/>
              </w:rPr>
              <w:t>Job Summary</w:t>
            </w:r>
          </w:p>
        </w:tc>
        <w:tc>
          <w:tcPr>
            <w:tcW w:w="6015" w:type="dxa"/>
          </w:tcPr>
          <w:p w:rsidR="002C2F65" w:rsidRDefault="002C2F65" w:rsidP="003C2929">
            <w:pPr>
              <w:tabs>
                <w:tab w:val="left" w:pos="2410"/>
              </w:tabs>
              <w:suppressAutoHyphens/>
              <w:rPr>
                <w:rFonts w:ascii="Arial" w:hAnsi="Arial" w:cs="Arial"/>
                <w:szCs w:val="24"/>
              </w:rPr>
            </w:pPr>
            <w:r>
              <w:rPr>
                <w:rFonts w:ascii="Arial" w:hAnsi="Arial" w:cs="Arial"/>
                <w:szCs w:val="24"/>
              </w:rPr>
              <w:t>Responsibility for writing, submitting and managing compelling bids to appropriate grant making trusts/foundations to secure significant levels of income from this source.</w:t>
            </w:r>
          </w:p>
          <w:p w:rsidR="002C2F65" w:rsidRDefault="002C2F65" w:rsidP="002C2F65">
            <w:pPr>
              <w:tabs>
                <w:tab w:val="left" w:pos="2410"/>
              </w:tabs>
              <w:suppressAutoHyphens/>
              <w:jc w:val="both"/>
              <w:rPr>
                <w:rFonts w:ascii="Arial" w:hAnsi="Arial" w:cs="Arial"/>
                <w:szCs w:val="24"/>
              </w:rPr>
            </w:pPr>
          </w:p>
          <w:p w:rsidR="002C2F65" w:rsidRDefault="002C2F65" w:rsidP="002C2F65">
            <w:pPr>
              <w:tabs>
                <w:tab w:val="left" w:pos="2410"/>
              </w:tabs>
              <w:suppressAutoHyphens/>
              <w:jc w:val="both"/>
              <w:rPr>
                <w:rFonts w:ascii="Arial" w:hAnsi="Arial" w:cs="Arial"/>
                <w:szCs w:val="24"/>
              </w:rPr>
            </w:pPr>
            <w:r>
              <w:rPr>
                <w:rFonts w:ascii="Arial" w:hAnsi="Arial" w:cs="Arial"/>
                <w:szCs w:val="24"/>
              </w:rPr>
              <w:t>Assisting with applications for statutory grants.</w:t>
            </w:r>
          </w:p>
          <w:p w:rsidR="005B663A" w:rsidRDefault="005B663A" w:rsidP="002C2F65">
            <w:pPr>
              <w:tabs>
                <w:tab w:val="left" w:pos="2410"/>
              </w:tabs>
              <w:suppressAutoHyphens/>
              <w:jc w:val="both"/>
              <w:rPr>
                <w:rFonts w:ascii="Arial" w:hAnsi="Arial" w:cs="Arial"/>
                <w:szCs w:val="24"/>
              </w:rPr>
            </w:pPr>
          </w:p>
          <w:p w:rsidR="002C2F65" w:rsidRDefault="002C2F65"/>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rsidP="002C2F65">
            <w:pPr>
              <w:rPr>
                <w:rFonts w:ascii="Arial" w:hAnsi="Arial" w:cs="Arial"/>
                <w:b/>
              </w:rPr>
            </w:pPr>
            <w:r w:rsidRPr="005B663A">
              <w:rPr>
                <w:rFonts w:ascii="Arial" w:hAnsi="Arial" w:cs="Arial"/>
                <w:b/>
              </w:rPr>
              <w:t>1</w:t>
            </w:r>
          </w:p>
        </w:tc>
        <w:tc>
          <w:tcPr>
            <w:tcW w:w="8425" w:type="dxa"/>
            <w:gridSpan w:val="2"/>
            <w:tcBorders>
              <w:top w:val="nil"/>
              <w:left w:val="nil"/>
              <w:bottom w:val="nil"/>
              <w:right w:val="nil"/>
            </w:tcBorders>
          </w:tcPr>
          <w:p w:rsidR="002C2F65" w:rsidRPr="002C2F65" w:rsidRDefault="002C2F65" w:rsidP="005B663A">
            <w:pPr>
              <w:tabs>
                <w:tab w:val="left" w:pos="-720"/>
                <w:tab w:val="left" w:pos="0"/>
                <w:tab w:val="left" w:pos="720"/>
                <w:tab w:val="left" w:pos="1440"/>
                <w:tab w:val="left" w:pos="2410"/>
              </w:tabs>
              <w:suppressAutoHyphens/>
              <w:rPr>
                <w:rFonts w:ascii="Arial" w:hAnsi="Arial" w:cs="Arial"/>
              </w:rPr>
            </w:pPr>
            <w:r w:rsidRPr="009170EC">
              <w:rPr>
                <w:rFonts w:ascii="Arial" w:hAnsi="Arial"/>
                <w:b/>
                <w:spacing w:val="-2"/>
              </w:rPr>
              <w:t>Key Responsibilities and Tasks</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sidRPr="002C2F65">
              <w:rPr>
                <w:rFonts w:ascii="Arial" w:hAnsi="Arial" w:cs="Arial"/>
              </w:rPr>
              <w:t>1.1</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 xml:space="preserve">Responsibility for writing compelling application templates to persuade grant making trusts to support the Hospice </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sidRPr="002C2F65">
              <w:rPr>
                <w:rFonts w:ascii="Arial" w:hAnsi="Arial" w:cs="Arial"/>
              </w:rPr>
              <w:t>1.2</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Responsibility for submitting bids to those trusts already known to the Hospice and undertake extensive research to identify new trust prospects</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sidRPr="002C2F65">
              <w:rPr>
                <w:rFonts w:ascii="Arial" w:hAnsi="Arial" w:cs="Arial"/>
              </w:rPr>
              <w:t>1.3</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 xml:space="preserve">Responsibility for preparing and submitting applications for support (ensuring that equal attention is paid to revenue giving trusts and those grants available for capital spend) including </w:t>
            </w:r>
          </w:p>
          <w:p w:rsidR="002C2F65" w:rsidRPr="002C2F65" w:rsidRDefault="002C2F65" w:rsidP="002C2F65">
            <w:pPr>
              <w:pStyle w:val="ListParagraph"/>
              <w:numPr>
                <w:ilvl w:val="0"/>
                <w:numId w:val="2"/>
              </w:numPr>
              <w:jc w:val="both"/>
              <w:rPr>
                <w:rFonts w:ascii="Arial" w:hAnsi="Arial" w:cs="Arial"/>
                <w:szCs w:val="24"/>
              </w:rPr>
            </w:pPr>
            <w:r w:rsidRPr="002C2F65">
              <w:rPr>
                <w:rFonts w:ascii="Arial" w:hAnsi="Arial" w:cs="Arial"/>
                <w:szCs w:val="24"/>
              </w:rPr>
              <w:t>Adapting templates to create bespoke applications for support</w:t>
            </w:r>
          </w:p>
          <w:p w:rsidR="002C2F65" w:rsidRPr="002C2F65" w:rsidRDefault="002C2F65" w:rsidP="002C2F65">
            <w:pPr>
              <w:numPr>
                <w:ilvl w:val="0"/>
                <w:numId w:val="2"/>
              </w:numPr>
              <w:jc w:val="both"/>
              <w:rPr>
                <w:rFonts w:ascii="Arial" w:hAnsi="Arial" w:cs="Arial"/>
                <w:szCs w:val="24"/>
              </w:rPr>
            </w:pPr>
            <w:r w:rsidRPr="002C2F65">
              <w:rPr>
                <w:rFonts w:ascii="Arial" w:hAnsi="Arial" w:cs="Arial"/>
                <w:szCs w:val="24"/>
              </w:rPr>
              <w:t>Compiling relevant supporting documentation such as the Annual Report, Strategy Document and supporting information</w:t>
            </w:r>
          </w:p>
          <w:p w:rsidR="002C2F65" w:rsidRPr="002C2F65" w:rsidRDefault="002C2F65" w:rsidP="002C2F65">
            <w:pPr>
              <w:numPr>
                <w:ilvl w:val="0"/>
                <w:numId w:val="2"/>
              </w:numPr>
              <w:jc w:val="both"/>
              <w:rPr>
                <w:rFonts w:ascii="Arial" w:hAnsi="Arial" w:cs="Arial"/>
                <w:szCs w:val="24"/>
              </w:rPr>
            </w:pPr>
            <w:r w:rsidRPr="002C2F65">
              <w:rPr>
                <w:rFonts w:ascii="Arial" w:hAnsi="Arial" w:cs="Arial"/>
                <w:szCs w:val="24"/>
              </w:rPr>
              <w:t>Completing online/offline application forms as appropriate</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sidRPr="002C2F65">
              <w:rPr>
                <w:rFonts w:ascii="Arial" w:hAnsi="Arial" w:cs="Arial"/>
              </w:rPr>
              <w:lastRenderedPageBreak/>
              <w:t>1.4</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Initiate, establish and proactively manage relationships with grant makers</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Pr>
                <w:rFonts w:ascii="Arial" w:hAnsi="Arial" w:cs="Arial"/>
              </w:rPr>
              <w:t>1.5</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Monitor statutory funding opportunities and in liaison with Chief Executive and Finance Manager submit appropriate applications</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Pr>
                <w:rFonts w:ascii="Arial" w:hAnsi="Arial" w:cs="Arial"/>
              </w:rPr>
              <w:t>1.6</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 xml:space="preserve">Monitor progress against targets (e.g. number of projects and trusts identified, number of bids submitted, total income raised) </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Pr>
                <w:rFonts w:ascii="Arial" w:hAnsi="Arial" w:cs="Arial"/>
              </w:rPr>
              <w:t>1.7</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Develop and manage a clear reporting structure to ensure all follow up reports are sent on time</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2C2F65" w:rsidRDefault="002C2F65">
            <w:pPr>
              <w:rPr>
                <w:rFonts w:ascii="Arial" w:hAnsi="Arial" w:cs="Arial"/>
              </w:rPr>
            </w:pPr>
            <w:r>
              <w:rPr>
                <w:rFonts w:ascii="Arial" w:hAnsi="Arial" w:cs="Arial"/>
              </w:rPr>
              <w:t>1.8</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Network with other Hospices and Hospice UK to ensure maximum opportunities for grants realised</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1.9</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Responsibility for ensuring the Hospice keeps pace with nationally recognised tools for grant applications and websites being developed for the submission of grants</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1.10</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szCs w:val="24"/>
              </w:rPr>
            </w:pPr>
            <w:r w:rsidRPr="002C2F65">
              <w:rPr>
                <w:rFonts w:ascii="Arial" w:hAnsi="Arial" w:cs="Arial"/>
                <w:szCs w:val="24"/>
              </w:rPr>
              <w:t>Undertake any other reasonable duties as required by the Head of Income   Generation to develop and deliver the Hospice business plan.</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2.</w:t>
            </w:r>
          </w:p>
        </w:tc>
        <w:tc>
          <w:tcPr>
            <w:tcW w:w="8425" w:type="dxa"/>
            <w:gridSpan w:val="2"/>
            <w:tcBorders>
              <w:top w:val="nil"/>
              <w:left w:val="nil"/>
              <w:bottom w:val="nil"/>
              <w:right w:val="nil"/>
            </w:tcBorders>
          </w:tcPr>
          <w:p w:rsidR="002C2F65" w:rsidRPr="002C2F65" w:rsidRDefault="002C2F65" w:rsidP="005B663A">
            <w:pPr>
              <w:jc w:val="both"/>
              <w:rPr>
                <w:rFonts w:ascii="Arial" w:hAnsi="Arial" w:cs="Arial"/>
              </w:rPr>
            </w:pPr>
            <w:r w:rsidRPr="002C2F65">
              <w:rPr>
                <w:rFonts w:ascii="Arial" w:hAnsi="Arial"/>
                <w:b/>
                <w:spacing w:val="-2"/>
              </w:rPr>
              <w:t>Governance &amp; Quality</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2.1</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b/>
                <w:szCs w:val="24"/>
              </w:rPr>
            </w:pPr>
            <w:r w:rsidRPr="002C2F65">
              <w:rPr>
                <w:rFonts w:ascii="Arial" w:hAnsi="Arial" w:cs="Arial"/>
                <w:szCs w:val="24"/>
              </w:rPr>
              <w:t xml:space="preserve">Responsible for managing, developing and maintaining Standard Operating Procedures (SOP) for grant applications, to ensure consistency in approach and quality of all applications. </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2.2</w:t>
            </w:r>
          </w:p>
        </w:tc>
        <w:tc>
          <w:tcPr>
            <w:tcW w:w="8425" w:type="dxa"/>
            <w:gridSpan w:val="2"/>
            <w:tcBorders>
              <w:top w:val="nil"/>
              <w:left w:val="nil"/>
              <w:bottom w:val="nil"/>
              <w:right w:val="nil"/>
            </w:tcBorders>
          </w:tcPr>
          <w:p w:rsidR="002C2F65" w:rsidRPr="002C2F65" w:rsidRDefault="002C2F65" w:rsidP="002C2F65">
            <w:pPr>
              <w:jc w:val="both"/>
              <w:rPr>
                <w:rFonts w:ascii="Arial" w:hAnsi="Arial" w:cs="Arial"/>
                <w:b/>
                <w:szCs w:val="24"/>
              </w:rPr>
            </w:pPr>
            <w:r w:rsidRPr="002C2F65">
              <w:rPr>
                <w:rFonts w:ascii="Arial" w:hAnsi="Arial" w:cs="Arial"/>
                <w:szCs w:val="24"/>
              </w:rPr>
              <w:t>Ensure compliance with all Data Protection regulations and information governance policies and standards</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3</w:t>
            </w:r>
          </w:p>
        </w:tc>
        <w:tc>
          <w:tcPr>
            <w:tcW w:w="8425" w:type="dxa"/>
            <w:gridSpan w:val="2"/>
            <w:tcBorders>
              <w:top w:val="nil"/>
              <w:left w:val="nil"/>
              <w:bottom w:val="nil"/>
              <w:right w:val="nil"/>
            </w:tcBorders>
          </w:tcPr>
          <w:p w:rsidR="002C2F65" w:rsidRPr="002C2F65" w:rsidRDefault="002C2F65" w:rsidP="005B663A">
            <w:pPr>
              <w:tabs>
                <w:tab w:val="left" w:pos="-720"/>
                <w:tab w:val="left" w:pos="0"/>
                <w:tab w:val="left" w:pos="720"/>
                <w:tab w:val="left" w:pos="1440"/>
                <w:tab w:val="left" w:pos="2410"/>
              </w:tabs>
              <w:suppressAutoHyphens/>
              <w:rPr>
                <w:rFonts w:ascii="Arial" w:hAnsi="Arial" w:cs="Arial"/>
              </w:rPr>
            </w:pPr>
            <w:r w:rsidRPr="002C2F65">
              <w:rPr>
                <w:rFonts w:ascii="Arial" w:hAnsi="Arial"/>
                <w:b/>
                <w:spacing w:val="-2"/>
              </w:rPr>
              <w:t xml:space="preserve">Education and </w:t>
            </w:r>
            <w:r w:rsidR="005B663A">
              <w:rPr>
                <w:rFonts w:ascii="Arial" w:hAnsi="Arial"/>
                <w:b/>
                <w:spacing w:val="-2"/>
              </w:rPr>
              <w:t>T</w:t>
            </w:r>
            <w:r w:rsidRPr="002C2F65">
              <w:rPr>
                <w:rFonts w:ascii="Arial" w:hAnsi="Arial"/>
                <w:b/>
                <w:spacing w:val="-2"/>
              </w:rPr>
              <w:t xml:space="preserve">raining &amp; </w:t>
            </w:r>
            <w:r w:rsidR="005B663A">
              <w:rPr>
                <w:rFonts w:ascii="Arial" w:hAnsi="Arial"/>
                <w:b/>
                <w:spacing w:val="-2"/>
              </w:rPr>
              <w:t>D</w:t>
            </w:r>
            <w:r w:rsidRPr="002C2F65">
              <w:rPr>
                <w:rFonts w:ascii="Arial" w:hAnsi="Arial"/>
                <w:b/>
                <w:spacing w:val="-2"/>
              </w:rPr>
              <w:t>evelopment</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3.1</w:t>
            </w:r>
          </w:p>
        </w:tc>
        <w:tc>
          <w:tcPr>
            <w:tcW w:w="8425" w:type="dxa"/>
            <w:gridSpan w:val="2"/>
            <w:tcBorders>
              <w:top w:val="nil"/>
              <w:left w:val="nil"/>
              <w:bottom w:val="nil"/>
              <w:right w:val="nil"/>
            </w:tcBorders>
          </w:tcPr>
          <w:p w:rsidR="002C2F65" w:rsidRPr="002C2F65" w:rsidRDefault="002C2F65" w:rsidP="002C2F65">
            <w:pPr>
              <w:tabs>
                <w:tab w:val="left" w:pos="-720"/>
                <w:tab w:val="left" w:pos="0"/>
                <w:tab w:val="left" w:pos="720"/>
                <w:tab w:val="left" w:pos="1440"/>
                <w:tab w:val="left" w:pos="2410"/>
              </w:tabs>
              <w:suppressAutoHyphens/>
              <w:rPr>
                <w:rFonts w:ascii="Arial" w:hAnsi="Arial"/>
                <w:b/>
                <w:spacing w:val="-2"/>
              </w:rPr>
            </w:pPr>
            <w:r w:rsidRPr="002C2F65">
              <w:rPr>
                <w:rFonts w:ascii="Arial" w:hAnsi="Arial" w:cs="Arial"/>
                <w:szCs w:val="24"/>
              </w:rPr>
              <w:t>Maintain an appropriate level of awareness and understanding of the Hospice and its work, to ensure applications reflect current services and requirements</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3.2</w:t>
            </w:r>
          </w:p>
        </w:tc>
        <w:tc>
          <w:tcPr>
            <w:tcW w:w="8425" w:type="dxa"/>
            <w:gridSpan w:val="2"/>
            <w:tcBorders>
              <w:top w:val="nil"/>
              <w:left w:val="nil"/>
              <w:bottom w:val="nil"/>
              <w:right w:val="nil"/>
            </w:tcBorders>
          </w:tcPr>
          <w:p w:rsidR="002C2F65" w:rsidRPr="002C2F65" w:rsidRDefault="002C2F65" w:rsidP="002C2F65">
            <w:pPr>
              <w:tabs>
                <w:tab w:val="left" w:pos="-720"/>
                <w:tab w:val="left" w:pos="0"/>
                <w:tab w:val="left" w:pos="720"/>
                <w:tab w:val="left" w:pos="1440"/>
                <w:tab w:val="left" w:pos="2410"/>
              </w:tabs>
              <w:suppressAutoHyphens/>
              <w:rPr>
                <w:rFonts w:ascii="Arial" w:hAnsi="Arial"/>
                <w:b/>
                <w:spacing w:val="-2"/>
              </w:rPr>
            </w:pPr>
            <w:r w:rsidRPr="002C2F65">
              <w:rPr>
                <w:rFonts w:ascii="Arial" w:hAnsi="Arial"/>
                <w:bCs/>
                <w:spacing w:val="-2"/>
              </w:rPr>
              <w:t>Undertake continual personal development needs to keep pace with developing Hospice needs as well as individual needs.</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3.3</w:t>
            </w:r>
          </w:p>
        </w:tc>
        <w:tc>
          <w:tcPr>
            <w:tcW w:w="8425" w:type="dxa"/>
            <w:gridSpan w:val="2"/>
            <w:tcBorders>
              <w:top w:val="nil"/>
              <w:left w:val="nil"/>
              <w:bottom w:val="nil"/>
              <w:right w:val="nil"/>
            </w:tcBorders>
          </w:tcPr>
          <w:p w:rsidR="002C2F65" w:rsidRPr="002C2F65" w:rsidRDefault="002C2F65" w:rsidP="002C2F65">
            <w:pPr>
              <w:tabs>
                <w:tab w:val="left" w:pos="-720"/>
                <w:tab w:val="left" w:pos="0"/>
                <w:tab w:val="left" w:pos="720"/>
                <w:tab w:val="left" w:pos="1440"/>
                <w:tab w:val="left" w:pos="2410"/>
              </w:tabs>
              <w:suppressAutoHyphens/>
              <w:rPr>
                <w:rFonts w:ascii="Arial" w:hAnsi="Arial"/>
                <w:b/>
                <w:spacing w:val="-2"/>
              </w:rPr>
            </w:pPr>
            <w:r>
              <w:rPr>
                <w:rFonts w:ascii="Arial" w:hAnsi="Arial"/>
                <w:bCs/>
                <w:spacing w:val="-2"/>
              </w:rPr>
              <w:t>Complete</w:t>
            </w:r>
            <w:r w:rsidRPr="002C2F65">
              <w:rPr>
                <w:rFonts w:ascii="Arial" w:hAnsi="Arial"/>
                <w:bCs/>
                <w:spacing w:val="-2"/>
              </w:rPr>
              <w:t xml:space="preserve"> mandatory training as required</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4</w:t>
            </w:r>
          </w:p>
        </w:tc>
        <w:tc>
          <w:tcPr>
            <w:tcW w:w="8425" w:type="dxa"/>
            <w:gridSpan w:val="2"/>
            <w:tcBorders>
              <w:top w:val="nil"/>
              <w:left w:val="nil"/>
              <w:bottom w:val="nil"/>
              <w:right w:val="nil"/>
            </w:tcBorders>
          </w:tcPr>
          <w:p w:rsidR="002C2F65" w:rsidRPr="002C2F65" w:rsidRDefault="002C2F65" w:rsidP="005B663A">
            <w:pPr>
              <w:pStyle w:val="Heading2"/>
              <w:ind w:left="0"/>
              <w:outlineLvl w:val="1"/>
            </w:pPr>
            <w:r>
              <w:rPr>
                <w:sz w:val="24"/>
              </w:rPr>
              <w:t xml:space="preserve">Equality and </w:t>
            </w:r>
            <w:r w:rsidR="005B663A">
              <w:rPr>
                <w:sz w:val="24"/>
              </w:rPr>
              <w:t>D</w:t>
            </w:r>
            <w:r>
              <w:rPr>
                <w:sz w:val="24"/>
              </w:rPr>
              <w:t>iversity</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4.1</w:t>
            </w:r>
          </w:p>
        </w:tc>
        <w:tc>
          <w:tcPr>
            <w:tcW w:w="8425" w:type="dxa"/>
            <w:gridSpan w:val="2"/>
            <w:tcBorders>
              <w:top w:val="nil"/>
              <w:left w:val="nil"/>
              <w:bottom w:val="nil"/>
              <w:right w:val="nil"/>
            </w:tcBorders>
          </w:tcPr>
          <w:p w:rsidR="002C2F65" w:rsidRDefault="002C2F65" w:rsidP="002C2F65">
            <w:pPr>
              <w:keepNext/>
              <w:outlineLvl w:val="1"/>
              <w:rPr>
                <w:rFonts w:ascii="Arial" w:hAnsi="Arial" w:cs="Arial"/>
                <w:bCs/>
              </w:rPr>
            </w:pPr>
            <w:r w:rsidRPr="002C2F65">
              <w:rPr>
                <w:rFonts w:ascii="Arial" w:hAnsi="Arial" w:cs="Arial"/>
                <w:bCs/>
              </w:rPr>
              <w:t>Act in ways that support equality and diversity and work within the spirit and detail of legislation including the Equality Act 2010 paying particular attention to how this impacts on grant applications</w:t>
            </w:r>
          </w:p>
          <w:p w:rsidR="005B663A" w:rsidRPr="002C2F65" w:rsidRDefault="005B663A" w:rsidP="002C2F65">
            <w:pPr>
              <w:keepNext/>
              <w:outlineLvl w:val="1"/>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5</w:t>
            </w:r>
          </w:p>
        </w:tc>
        <w:tc>
          <w:tcPr>
            <w:tcW w:w="8425" w:type="dxa"/>
            <w:gridSpan w:val="2"/>
            <w:tcBorders>
              <w:top w:val="nil"/>
              <w:left w:val="nil"/>
              <w:bottom w:val="nil"/>
              <w:right w:val="nil"/>
            </w:tcBorders>
          </w:tcPr>
          <w:p w:rsidR="002C2F65" w:rsidRPr="002C2F65" w:rsidRDefault="002C2F65" w:rsidP="005B663A">
            <w:pPr>
              <w:keepNext/>
              <w:tabs>
                <w:tab w:val="left" w:pos="-720"/>
              </w:tabs>
              <w:suppressAutoHyphens/>
              <w:outlineLvl w:val="2"/>
              <w:rPr>
                <w:rFonts w:ascii="Arial" w:hAnsi="Arial" w:cs="Arial"/>
              </w:rPr>
            </w:pPr>
            <w:r w:rsidRPr="002C2F65">
              <w:rPr>
                <w:rFonts w:ascii="Arial" w:hAnsi="Arial"/>
                <w:b/>
                <w:spacing w:val="-2"/>
              </w:rPr>
              <w:t>Confidentiality</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5.1</w:t>
            </w:r>
          </w:p>
        </w:tc>
        <w:tc>
          <w:tcPr>
            <w:tcW w:w="8425" w:type="dxa"/>
            <w:gridSpan w:val="2"/>
            <w:tcBorders>
              <w:top w:val="nil"/>
              <w:left w:val="nil"/>
              <w:bottom w:val="nil"/>
              <w:right w:val="nil"/>
            </w:tcBorders>
          </w:tcPr>
          <w:p w:rsidR="002C2F65" w:rsidRDefault="002C2F65" w:rsidP="002C2F65">
            <w:pPr>
              <w:keepNext/>
              <w:tabs>
                <w:tab w:val="left" w:pos="-720"/>
              </w:tabs>
              <w:suppressAutoHyphens/>
              <w:outlineLvl w:val="2"/>
              <w:rPr>
                <w:rFonts w:ascii="Arial" w:hAnsi="Arial" w:cs="Arial"/>
                <w:spacing w:val="-2"/>
              </w:rPr>
            </w:pPr>
            <w:r w:rsidRPr="002C2F65">
              <w:rPr>
                <w:rFonts w:ascii="Arial" w:hAnsi="Arial" w:cs="Arial"/>
                <w:spacing w:val="-2"/>
              </w:rPr>
              <w:t>Information available within the duties of this post, which is strictly confidential, must not in any circumstances be passed on, either directly or indirectly. A contravention of confidentiality is regarded very seriously by the Hospice and may lead to disciplinary action.</w:t>
            </w:r>
          </w:p>
          <w:p w:rsidR="005B663A" w:rsidRDefault="005B663A" w:rsidP="002C2F65">
            <w:pPr>
              <w:keepNext/>
              <w:tabs>
                <w:tab w:val="left" w:pos="-720"/>
              </w:tabs>
              <w:suppressAutoHyphens/>
              <w:outlineLvl w:val="2"/>
              <w:rPr>
                <w:rFonts w:ascii="Arial" w:hAnsi="Arial" w:cs="Arial"/>
                <w:spacing w:val="-2"/>
              </w:rPr>
            </w:pPr>
          </w:p>
          <w:p w:rsidR="005B663A" w:rsidRDefault="005B663A" w:rsidP="002C2F65">
            <w:pPr>
              <w:keepNext/>
              <w:tabs>
                <w:tab w:val="left" w:pos="-720"/>
              </w:tabs>
              <w:suppressAutoHyphens/>
              <w:outlineLvl w:val="2"/>
              <w:rPr>
                <w:rFonts w:ascii="Arial" w:hAnsi="Arial"/>
                <w:spacing w:val="-2"/>
              </w:rPr>
            </w:pPr>
          </w:p>
          <w:p w:rsidR="005B663A" w:rsidRPr="002C2F65" w:rsidRDefault="005B663A" w:rsidP="002C2F65">
            <w:pPr>
              <w:keepNext/>
              <w:tabs>
                <w:tab w:val="left" w:pos="-720"/>
              </w:tabs>
              <w:suppressAutoHyphens/>
              <w:outlineLvl w:val="2"/>
              <w:rPr>
                <w:rFonts w:ascii="Arial" w:hAnsi="Arial"/>
                <w:spacing w:val="-2"/>
              </w:rPr>
            </w:pP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lastRenderedPageBreak/>
              <w:t>6</w:t>
            </w:r>
          </w:p>
        </w:tc>
        <w:tc>
          <w:tcPr>
            <w:tcW w:w="8425" w:type="dxa"/>
            <w:gridSpan w:val="2"/>
            <w:tcBorders>
              <w:top w:val="nil"/>
              <w:left w:val="nil"/>
              <w:bottom w:val="nil"/>
              <w:right w:val="nil"/>
            </w:tcBorders>
          </w:tcPr>
          <w:p w:rsidR="002C2F65" w:rsidRPr="002C2F65" w:rsidRDefault="002C2F65" w:rsidP="005B663A">
            <w:pPr>
              <w:tabs>
                <w:tab w:val="left" w:pos="-720"/>
              </w:tabs>
              <w:suppressAutoHyphens/>
              <w:rPr>
                <w:rFonts w:ascii="Arial" w:hAnsi="Arial" w:cs="Arial"/>
              </w:rPr>
            </w:pPr>
            <w:r w:rsidRPr="002C2F65">
              <w:rPr>
                <w:rFonts w:ascii="Arial" w:hAnsi="Arial"/>
                <w:b/>
                <w:spacing w:val="-2"/>
              </w:rPr>
              <w:t>Health and Safety</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6.1</w:t>
            </w:r>
          </w:p>
        </w:tc>
        <w:tc>
          <w:tcPr>
            <w:tcW w:w="8425" w:type="dxa"/>
            <w:gridSpan w:val="2"/>
            <w:tcBorders>
              <w:top w:val="nil"/>
              <w:left w:val="nil"/>
              <w:bottom w:val="nil"/>
              <w:right w:val="nil"/>
            </w:tcBorders>
          </w:tcPr>
          <w:p w:rsidR="002C2F65" w:rsidRPr="002C2F65" w:rsidRDefault="002C2F65" w:rsidP="002C2F65">
            <w:pPr>
              <w:tabs>
                <w:tab w:val="left" w:pos="-720"/>
              </w:tabs>
              <w:suppressAutoHyphens/>
              <w:rPr>
                <w:rFonts w:ascii="Arial" w:hAnsi="Arial"/>
                <w:b/>
                <w:spacing w:val="-2"/>
              </w:rPr>
            </w:pPr>
            <w:r w:rsidRPr="002C2F65">
              <w:rPr>
                <w:rFonts w:ascii="Arial" w:hAnsi="Arial" w:cs="Arial"/>
                <w:spacing w:val="-2"/>
              </w:rPr>
              <w:t>All employees are responsible for taking reasonable care for both their own health and safety and also the health and safety of colleagues. Staff are responsible for ensuring that they do not intentionally misuse or interfere with anything provided in the interests of health, safety or welfare e.g. misuse of equipment.</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6.2</w:t>
            </w:r>
          </w:p>
        </w:tc>
        <w:tc>
          <w:tcPr>
            <w:tcW w:w="8425" w:type="dxa"/>
            <w:gridSpan w:val="2"/>
            <w:tcBorders>
              <w:top w:val="nil"/>
              <w:left w:val="nil"/>
              <w:bottom w:val="nil"/>
              <w:right w:val="nil"/>
            </w:tcBorders>
          </w:tcPr>
          <w:p w:rsidR="002C2F65" w:rsidRPr="002C2F65" w:rsidRDefault="002C2F65" w:rsidP="002C2F65">
            <w:pPr>
              <w:tabs>
                <w:tab w:val="left" w:pos="-720"/>
              </w:tabs>
              <w:suppressAutoHyphens/>
              <w:rPr>
                <w:rFonts w:ascii="Arial" w:hAnsi="Arial"/>
                <w:b/>
                <w:spacing w:val="-2"/>
              </w:rPr>
            </w:pPr>
            <w:r w:rsidRPr="002C2F65">
              <w:rPr>
                <w:rFonts w:ascii="Arial" w:hAnsi="Arial" w:cs="Arial"/>
                <w:spacing w:val="-2"/>
              </w:rPr>
              <w:t>Follow all hospice infection control procedures</w:t>
            </w:r>
            <w:r w:rsidR="005B663A">
              <w:rPr>
                <w:rFonts w:ascii="Arial" w:hAnsi="Arial" w:cs="Arial"/>
                <w:spacing w:val="-2"/>
              </w:rPr>
              <w:t>.</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7</w:t>
            </w:r>
          </w:p>
        </w:tc>
        <w:tc>
          <w:tcPr>
            <w:tcW w:w="8425" w:type="dxa"/>
            <w:gridSpan w:val="2"/>
            <w:tcBorders>
              <w:top w:val="nil"/>
              <w:left w:val="nil"/>
              <w:bottom w:val="nil"/>
              <w:right w:val="nil"/>
            </w:tcBorders>
          </w:tcPr>
          <w:p w:rsidR="002C2F65" w:rsidRPr="002C2F65" w:rsidRDefault="002C2F65" w:rsidP="005B663A">
            <w:pPr>
              <w:tabs>
                <w:tab w:val="left" w:pos="-720"/>
              </w:tabs>
              <w:suppressAutoHyphens/>
              <w:rPr>
                <w:rFonts w:ascii="Arial" w:hAnsi="Arial" w:cs="Arial"/>
              </w:rPr>
            </w:pPr>
            <w:r w:rsidRPr="002C2F65">
              <w:rPr>
                <w:rFonts w:ascii="Arial" w:hAnsi="Arial"/>
                <w:b/>
                <w:spacing w:val="-2"/>
              </w:rPr>
              <w:t>Administration responsibility</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7.1</w:t>
            </w:r>
          </w:p>
        </w:tc>
        <w:tc>
          <w:tcPr>
            <w:tcW w:w="8425" w:type="dxa"/>
            <w:gridSpan w:val="2"/>
            <w:tcBorders>
              <w:top w:val="nil"/>
              <w:left w:val="nil"/>
              <w:bottom w:val="nil"/>
              <w:right w:val="nil"/>
            </w:tcBorders>
          </w:tcPr>
          <w:p w:rsidR="002C2F65" w:rsidRPr="002C2F65" w:rsidRDefault="002C2F65" w:rsidP="002C2F65">
            <w:pPr>
              <w:tabs>
                <w:tab w:val="left" w:pos="-720"/>
              </w:tabs>
              <w:suppressAutoHyphens/>
              <w:rPr>
                <w:rFonts w:ascii="Arial" w:hAnsi="Arial"/>
                <w:b/>
                <w:spacing w:val="-2"/>
              </w:rPr>
            </w:pPr>
            <w:r w:rsidRPr="002C2F65">
              <w:rPr>
                <w:rFonts w:ascii="Arial" w:hAnsi="Arial" w:cs="Arial"/>
                <w:szCs w:val="24"/>
              </w:rPr>
              <w:t xml:space="preserve">Maintain accurate records of all grant activities and ensure that they integrate with the whole fundraising function including </w:t>
            </w:r>
            <w:proofErr w:type="spellStart"/>
            <w:r w:rsidRPr="002C2F65">
              <w:rPr>
                <w:rFonts w:ascii="Arial" w:hAnsi="Arial" w:cs="Arial"/>
                <w:szCs w:val="24"/>
              </w:rPr>
              <w:t>Donorflex</w:t>
            </w:r>
            <w:proofErr w:type="spellEnd"/>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7.2</w:t>
            </w:r>
          </w:p>
        </w:tc>
        <w:tc>
          <w:tcPr>
            <w:tcW w:w="8425" w:type="dxa"/>
            <w:gridSpan w:val="2"/>
            <w:tcBorders>
              <w:top w:val="nil"/>
              <w:left w:val="nil"/>
              <w:bottom w:val="nil"/>
              <w:right w:val="nil"/>
            </w:tcBorders>
          </w:tcPr>
          <w:p w:rsidR="002C2F65" w:rsidRPr="002C2F65" w:rsidRDefault="002C2F65" w:rsidP="002C2F65">
            <w:pPr>
              <w:tabs>
                <w:tab w:val="left" w:pos="-720"/>
              </w:tabs>
              <w:suppressAutoHyphens/>
              <w:rPr>
                <w:rFonts w:ascii="Arial" w:hAnsi="Arial"/>
                <w:b/>
                <w:spacing w:val="-2"/>
              </w:rPr>
            </w:pPr>
            <w:r w:rsidRPr="002C2F65">
              <w:rPr>
                <w:rFonts w:ascii="Arial" w:hAnsi="Arial" w:cs="Arial"/>
                <w:szCs w:val="24"/>
              </w:rPr>
              <w:t>Prepare regular reports fo</w:t>
            </w:r>
            <w:r w:rsidR="006F2BB6">
              <w:rPr>
                <w:rFonts w:ascii="Arial" w:hAnsi="Arial" w:cs="Arial"/>
                <w:szCs w:val="24"/>
              </w:rPr>
              <w:t xml:space="preserve">r the Head of Income Generation as and when required </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8</w:t>
            </w:r>
          </w:p>
        </w:tc>
        <w:tc>
          <w:tcPr>
            <w:tcW w:w="8425" w:type="dxa"/>
            <w:gridSpan w:val="2"/>
            <w:tcBorders>
              <w:top w:val="nil"/>
              <w:left w:val="nil"/>
              <w:bottom w:val="nil"/>
              <w:right w:val="nil"/>
            </w:tcBorders>
          </w:tcPr>
          <w:p w:rsidR="002C2F65" w:rsidRPr="002C2F65" w:rsidRDefault="002C2F65" w:rsidP="005B663A">
            <w:pPr>
              <w:tabs>
                <w:tab w:val="left" w:pos="-720"/>
              </w:tabs>
              <w:suppressAutoHyphens/>
              <w:rPr>
                <w:rFonts w:ascii="Arial" w:hAnsi="Arial" w:cs="Arial"/>
              </w:rPr>
            </w:pPr>
            <w:r w:rsidRPr="002C2F65">
              <w:rPr>
                <w:rFonts w:ascii="Arial" w:hAnsi="Arial"/>
                <w:b/>
                <w:spacing w:val="-2"/>
              </w:rPr>
              <w:t>Research</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8.1</w:t>
            </w:r>
          </w:p>
        </w:tc>
        <w:tc>
          <w:tcPr>
            <w:tcW w:w="8425" w:type="dxa"/>
            <w:gridSpan w:val="2"/>
            <w:tcBorders>
              <w:top w:val="nil"/>
              <w:left w:val="nil"/>
              <w:bottom w:val="nil"/>
              <w:right w:val="nil"/>
            </w:tcBorders>
          </w:tcPr>
          <w:p w:rsidR="002C2F65" w:rsidRPr="002C2F65" w:rsidRDefault="002C2F65" w:rsidP="002C2F65">
            <w:pPr>
              <w:tabs>
                <w:tab w:val="left" w:pos="-720"/>
              </w:tabs>
              <w:suppressAutoHyphens/>
              <w:rPr>
                <w:rFonts w:ascii="Arial" w:hAnsi="Arial"/>
                <w:b/>
                <w:spacing w:val="-2"/>
              </w:rPr>
            </w:pPr>
            <w:r w:rsidRPr="002C2F65">
              <w:rPr>
                <w:rFonts w:ascii="Arial" w:hAnsi="Arial" w:cs="Arial"/>
                <w:spacing w:val="-2"/>
              </w:rPr>
              <w:t>Undertake surveys and collate audit data to inform the communication and marketing strategies as required</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9</w:t>
            </w:r>
          </w:p>
        </w:tc>
        <w:tc>
          <w:tcPr>
            <w:tcW w:w="8425" w:type="dxa"/>
            <w:gridSpan w:val="2"/>
            <w:tcBorders>
              <w:top w:val="nil"/>
              <w:left w:val="nil"/>
              <w:bottom w:val="nil"/>
              <w:right w:val="nil"/>
            </w:tcBorders>
          </w:tcPr>
          <w:p w:rsidR="002C2F65" w:rsidRPr="002C2F65" w:rsidRDefault="005B663A" w:rsidP="005B663A">
            <w:pPr>
              <w:tabs>
                <w:tab w:val="left" w:pos="-720"/>
              </w:tabs>
              <w:suppressAutoHyphens/>
              <w:rPr>
                <w:rFonts w:ascii="Arial" w:hAnsi="Arial" w:cs="Arial"/>
              </w:rPr>
            </w:pPr>
            <w:r>
              <w:rPr>
                <w:rFonts w:ascii="Arial" w:hAnsi="Arial"/>
                <w:b/>
                <w:spacing w:val="-2"/>
              </w:rPr>
              <w:t>Strategic R</w:t>
            </w:r>
            <w:r w:rsidR="002C2F65" w:rsidRPr="002C2F65">
              <w:rPr>
                <w:rFonts w:ascii="Arial" w:hAnsi="Arial"/>
                <w:b/>
                <w:spacing w:val="-2"/>
              </w:rPr>
              <w:t>ole</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9.1</w:t>
            </w:r>
          </w:p>
        </w:tc>
        <w:tc>
          <w:tcPr>
            <w:tcW w:w="8425" w:type="dxa"/>
            <w:gridSpan w:val="2"/>
            <w:tcBorders>
              <w:top w:val="nil"/>
              <w:left w:val="nil"/>
              <w:bottom w:val="nil"/>
              <w:right w:val="nil"/>
            </w:tcBorders>
          </w:tcPr>
          <w:p w:rsidR="002C2F65" w:rsidRPr="002C2F65" w:rsidRDefault="002C2F65" w:rsidP="002C2F65">
            <w:pPr>
              <w:tabs>
                <w:tab w:val="left" w:pos="-720"/>
              </w:tabs>
              <w:suppressAutoHyphens/>
              <w:rPr>
                <w:rFonts w:ascii="Arial" w:hAnsi="Arial"/>
                <w:b/>
                <w:spacing w:val="-2"/>
              </w:rPr>
            </w:pPr>
            <w:r w:rsidRPr="002C2F65">
              <w:rPr>
                <w:rFonts w:ascii="Arial" w:hAnsi="Arial"/>
                <w:spacing w:val="-2"/>
              </w:rPr>
              <w:t>Contribute to the strategy for grant applications in conjunction with the overall fundraising strategy</w:t>
            </w:r>
          </w:p>
          <w:p w:rsidR="002C2F65" w:rsidRPr="002C2F65" w:rsidRDefault="002C2F65">
            <w:pPr>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Pr="005B663A" w:rsidRDefault="002C2F65">
            <w:pPr>
              <w:rPr>
                <w:rFonts w:ascii="Arial" w:hAnsi="Arial" w:cs="Arial"/>
                <w:b/>
              </w:rPr>
            </w:pPr>
            <w:r w:rsidRPr="005B663A">
              <w:rPr>
                <w:rFonts w:ascii="Arial" w:hAnsi="Arial" w:cs="Arial"/>
                <w:b/>
              </w:rPr>
              <w:t>10</w:t>
            </w:r>
          </w:p>
        </w:tc>
        <w:tc>
          <w:tcPr>
            <w:tcW w:w="8425" w:type="dxa"/>
            <w:gridSpan w:val="2"/>
            <w:tcBorders>
              <w:top w:val="nil"/>
              <w:left w:val="nil"/>
              <w:bottom w:val="nil"/>
              <w:right w:val="nil"/>
            </w:tcBorders>
          </w:tcPr>
          <w:p w:rsidR="002C2F65" w:rsidRPr="002C2F65" w:rsidRDefault="005B663A" w:rsidP="005B663A">
            <w:pPr>
              <w:keepNext/>
              <w:outlineLvl w:val="1"/>
              <w:rPr>
                <w:rFonts w:ascii="Arial" w:hAnsi="Arial"/>
                <w:spacing w:val="-2"/>
              </w:rPr>
            </w:pPr>
            <w:r>
              <w:rPr>
                <w:rFonts w:ascii="Arial" w:hAnsi="Arial" w:cs="Arial"/>
                <w:b/>
                <w:bCs/>
              </w:rPr>
              <w:t>HR M</w:t>
            </w:r>
            <w:r w:rsidR="002C2F65" w:rsidRPr="002C2F65">
              <w:rPr>
                <w:rFonts w:ascii="Arial" w:hAnsi="Arial" w:cs="Arial"/>
                <w:b/>
                <w:bCs/>
              </w:rPr>
              <w:t>anagement</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10.1</w:t>
            </w:r>
          </w:p>
        </w:tc>
        <w:tc>
          <w:tcPr>
            <w:tcW w:w="8425" w:type="dxa"/>
            <w:gridSpan w:val="2"/>
            <w:tcBorders>
              <w:top w:val="nil"/>
              <w:left w:val="nil"/>
              <w:bottom w:val="nil"/>
              <w:right w:val="nil"/>
            </w:tcBorders>
          </w:tcPr>
          <w:p w:rsidR="002C2F65" w:rsidRPr="002C2F65" w:rsidRDefault="002C2F65" w:rsidP="002C2F65">
            <w:pPr>
              <w:keepNext/>
              <w:outlineLvl w:val="1"/>
              <w:rPr>
                <w:rFonts w:ascii="Arial" w:hAnsi="Arial" w:cs="Arial"/>
                <w:b/>
                <w:bCs/>
              </w:rPr>
            </w:pPr>
            <w:r w:rsidRPr="002C2F65">
              <w:rPr>
                <w:rFonts w:ascii="Arial" w:hAnsi="Arial" w:cs="Arial"/>
                <w:bCs/>
                <w:spacing w:val="-2"/>
              </w:rPr>
              <w:t>There are no formal HR management responsibilities in this role but supervision of volunteers allocated to support this function is expected</w:t>
            </w:r>
          </w:p>
          <w:p w:rsidR="002C2F65" w:rsidRPr="002C2F65" w:rsidRDefault="002C2F65" w:rsidP="002C2F65">
            <w:pPr>
              <w:tabs>
                <w:tab w:val="left" w:pos="-720"/>
              </w:tabs>
              <w:suppressAutoHyphens/>
              <w:rPr>
                <w:rFonts w:ascii="Arial" w:hAnsi="Arial"/>
                <w:spacing w:val="-2"/>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17" w:type="dxa"/>
            <w:tcBorders>
              <w:top w:val="nil"/>
              <w:left w:val="nil"/>
              <w:bottom w:val="nil"/>
              <w:right w:val="nil"/>
            </w:tcBorders>
          </w:tcPr>
          <w:p w:rsidR="002C2F65" w:rsidRPr="005B663A" w:rsidRDefault="002C2F65" w:rsidP="005B663A">
            <w:pPr>
              <w:rPr>
                <w:rFonts w:ascii="Arial" w:hAnsi="Arial" w:cs="Arial"/>
                <w:b/>
              </w:rPr>
            </w:pPr>
            <w:r w:rsidRPr="005B663A">
              <w:rPr>
                <w:rFonts w:ascii="Arial" w:hAnsi="Arial" w:cs="Arial"/>
                <w:b/>
              </w:rPr>
              <w:t>11</w:t>
            </w:r>
          </w:p>
        </w:tc>
        <w:tc>
          <w:tcPr>
            <w:tcW w:w="8425" w:type="dxa"/>
            <w:gridSpan w:val="2"/>
            <w:tcBorders>
              <w:top w:val="nil"/>
              <w:left w:val="nil"/>
              <w:bottom w:val="nil"/>
              <w:right w:val="nil"/>
            </w:tcBorders>
          </w:tcPr>
          <w:p w:rsidR="002C2F65" w:rsidRPr="002C2F65" w:rsidRDefault="005B663A" w:rsidP="005B663A">
            <w:pPr>
              <w:outlineLvl w:val="5"/>
              <w:rPr>
                <w:rFonts w:ascii="Arial" w:hAnsi="Arial"/>
                <w:spacing w:val="-2"/>
              </w:rPr>
            </w:pPr>
            <w:r>
              <w:rPr>
                <w:rFonts w:ascii="Arial" w:hAnsi="Arial" w:cs="Arial"/>
                <w:b/>
                <w:bCs/>
                <w:szCs w:val="24"/>
              </w:rPr>
              <w:t>Financial R</w:t>
            </w:r>
            <w:r w:rsidR="002C2F65" w:rsidRPr="002C2F65">
              <w:rPr>
                <w:rFonts w:ascii="Arial" w:hAnsi="Arial" w:cs="Arial"/>
                <w:b/>
                <w:bCs/>
                <w:szCs w:val="24"/>
              </w:rPr>
              <w:t>esponsibility</w:t>
            </w: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11.1</w:t>
            </w:r>
          </w:p>
        </w:tc>
        <w:tc>
          <w:tcPr>
            <w:tcW w:w="8425" w:type="dxa"/>
            <w:gridSpan w:val="2"/>
            <w:tcBorders>
              <w:top w:val="nil"/>
              <w:left w:val="nil"/>
              <w:bottom w:val="nil"/>
              <w:right w:val="nil"/>
            </w:tcBorders>
          </w:tcPr>
          <w:p w:rsidR="002C2F65" w:rsidRDefault="002C2F65" w:rsidP="005B663A">
            <w:pPr>
              <w:spacing w:after="60"/>
              <w:outlineLvl w:val="5"/>
              <w:rPr>
                <w:rFonts w:ascii="Arial" w:hAnsi="Arial" w:cs="Arial"/>
                <w:bCs/>
                <w:szCs w:val="22"/>
              </w:rPr>
            </w:pPr>
            <w:r w:rsidRPr="002C2F65">
              <w:rPr>
                <w:rFonts w:ascii="Arial" w:hAnsi="Arial" w:cs="Arial"/>
                <w:bCs/>
                <w:szCs w:val="22"/>
              </w:rPr>
              <w:t>Work with the Head of Income Generation to set annual Grants fundraising budgets and regularly monitor performance, reporting on variances as required</w:t>
            </w:r>
          </w:p>
          <w:p w:rsidR="006F2BB6" w:rsidRPr="002C2F65" w:rsidRDefault="006F2BB6" w:rsidP="005B663A">
            <w:pPr>
              <w:spacing w:after="60"/>
              <w:outlineLvl w:val="5"/>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817" w:type="dxa"/>
            <w:tcBorders>
              <w:top w:val="nil"/>
              <w:left w:val="nil"/>
              <w:bottom w:val="nil"/>
              <w:right w:val="nil"/>
            </w:tcBorders>
          </w:tcPr>
          <w:p w:rsidR="002C2F65" w:rsidRDefault="002C2F65" w:rsidP="005B663A">
            <w:pPr>
              <w:rPr>
                <w:rFonts w:ascii="Arial" w:hAnsi="Arial" w:cs="Arial"/>
              </w:rPr>
            </w:pPr>
            <w:r>
              <w:rPr>
                <w:rFonts w:ascii="Arial" w:hAnsi="Arial" w:cs="Arial"/>
              </w:rPr>
              <w:t>11.2</w:t>
            </w:r>
          </w:p>
        </w:tc>
        <w:tc>
          <w:tcPr>
            <w:tcW w:w="8425" w:type="dxa"/>
            <w:gridSpan w:val="2"/>
            <w:tcBorders>
              <w:top w:val="nil"/>
              <w:left w:val="nil"/>
              <w:bottom w:val="nil"/>
              <w:right w:val="nil"/>
            </w:tcBorders>
          </w:tcPr>
          <w:p w:rsidR="005B663A" w:rsidRDefault="002C2F65" w:rsidP="001E38E5">
            <w:pPr>
              <w:spacing w:after="60"/>
              <w:outlineLvl w:val="5"/>
              <w:rPr>
                <w:rFonts w:ascii="Arial" w:hAnsi="Arial" w:cs="Arial"/>
              </w:rPr>
            </w:pPr>
            <w:r w:rsidRPr="002C2F65">
              <w:rPr>
                <w:rFonts w:ascii="Arial" w:hAnsi="Arial" w:cs="Arial"/>
              </w:rPr>
              <w:t xml:space="preserve">Manage and maintain records of restricted funds raised, keeping Finance Manager and </w:t>
            </w:r>
            <w:r w:rsidR="006F2BB6">
              <w:rPr>
                <w:rFonts w:ascii="Arial" w:hAnsi="Arial" w:cs="Arial"/>
              </w:rPr>
              <w:t xml:space="preserve">Head of Income Generation </w:t>
            </w:r>
            <w:r w:rsidRPr="002C2F65">
              <w:rPr>
                <w:rFonts w:ascii="Arial" w:hAnsi="Arial" w:cs="Arial"/>
              </w:rPr>
              <w:t>fully informed  at all times</w:t>
            </w:r>
          </w:p>
          <w:p w:rsidR="006F2BB6" w:rsidRPr="002C2F65" w:rsidRDefault="006F2BB6" w:rsidP="001E38E5">
            <w:pPr>
              <w:spacing w:after="60"/>
              <w:outlineLvl w:val="5"/>
              <w:rPr>
                <w:rFonts w:ascii="Arial" w:hAnsi="Arial" w:cs="Arial"/>
              </w:rPr>
            </w:pPr>
          </w:p>
        </w:tc>
      </w:tr>
      <w:tr w:rsidR="002C2F65" w:rsidTr="005B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2C2F65" w:rsidRDefault="002C2F65">
            <w:pPr>
              <w:rPr>
                <w:rFonts w:ascii="Arial" w:hAnsi="Arial" w:cs="Arial"/>
              </w:rPr>
            </w:pPr>
            <w:r>
              <w:rPr>
                <w:rFonts w:ascii="Arial" w:hAnsi="Arial" w:cs="Arial"/>
              </w:rPr>
              <w:t>11.3</w:t>
            </w:r>
          </w:p>
        </w:tc>
        <w:tc>
          <w:tcPr>
            <w:tcW w:w="8425" w:type="dxa"/>
            <w:gridSpan w:val="2"/>
            <w:tcBorders>
              <w:top w:val="nil"/>
              <w:left w:val="nil"/>
              <w:bottom w:val="nil"/>
              <w:right w:val="nil"/>
            </w:tcBorders>
          </w:tcPr>
          <w:p w:rsidR="002C2F65" w:rsidRPr="002C2F65" w:rsidRDefault="002C2F65" w:rsidP="001E38E5">
            <w:pPr>
              <w:spacing w:after="60"/>
              <w:outlineLvl w:val="5"/>
              <w:rPr>
                <w:rFonts w:ascii="Arial" w:hAnsi="Arial" w:cs="Arial"/>
              </w:rPr>
            </w:pPr>
            <w:r w:rsidRPr="002C2F65">
              <w:rPr>
                <w:rFonts w:ascii="Arial" w:hAnsi="Arial" w:cs="Arial"/>
                <w:szCs w:val="24"/>
              </w:rPr>
              <w:t>Work with Managers to help them identify their immediate and longer term funding needs through the Hospice Wish List</w:t>
            </w:r>
          </w:p>
        </w:tc>
      </w:tr>
    </w:tbl>
    <w:p w:rsidR="002C2F65" w:rsidRDefault="002C2F65"/>
    <w:p w:rsidR="002C2F65" w:rsidRDefault="002C2F65"/>
    <w:p w:rsidR="002C2F65" w:rsidRPr="00216EF8" w:rsidRDefault="002C2F65" w:rsidP="002C2F65">
      <w:pPr>
        <w:pStyle w:val="EndnoteText"/>
        <w:tabs>
          <w:tab w:val="left" w:pos="-720"/>
        </w:tabs>
        <w:suppressAutoHyphens/>
        <w:rPr>
          <w:rFonts w:ascii="Arial" w:hAnsi="Arial" w:cs="Arial"/>
          <w:szCs w:val="24"/>
        </w:rPr>
      </w:pPr>
      <w:r w:rsidRPr="00216EF8">
        <w:rPr>
          <w:rFonts w:ascii="Arial" w:hAnsi="Arial" w:cs="Arial"/>
          <w:szCs w:val="24"/>
        </w:rPr>
        <w:t>Signed by Post Holder</w:t>
      </w:r>
      <w:proofErr w:type="gramStart"/>
      <w:r w:rsidRPr="00216EF8">
        <w:rPr>
          <w:rFonts w:ascii="Arial" w:hAnsi="Arial" w:cs="Arial"/>
          <w:szCs w:val="24"/>
        </w:rPr>
        <w:t>:…………………………………………………………</w:t>
      </w:r>
      <w:proofErr w:type="gramEnd"/>
      <w:r w:rsidRPr="00216EF8">
        <w:rPr>
          <w:rFonts w:ascii="Arial" w:hAnsi="Arial" w:cs="Arial"/>
          <w:szCs w:val="24"/>
        </w:rPr>
        <w:tab/>
      </w:r>
      <w:r w:rsidRPr="00216EF8">
        <w:rPr>
          <w:rFonts w:ascii="Arial" w:hAnsi="Arial" w:cs="Arial"/>
          <w:szCs w:val="24"/>
        </w:rPr>
        <w:tab/>
      </w:r>
    </w:p>
    <w:p w:rsidR="002C2F65" w:rsidRPr="00216EF8" w:rsidRDefault="002C2F65" w:rsidP="002C2F65">
      <w:pPr>
        <w:pStyle w:val="EndnoteText"/>
        <w:tabs>
          <w:tab w:val="left" w:pos="-720"/>
        </w:tabs>
        <w:suppressAutoHyphens/>
        <w:rPr>
          <w:rFonts w:ascii="Arial" w:hAnsi="Arial" w:cs="Arial"/>
          <w:szCs w:val="24"/>
        </w:rPr>
      </w:pPr>
    </w:p>
    <w:p w:rsidR="002C2F65" w:rsidRPr="00216EF8" w:rsidRDefault="002C2F65" w:rsidP="002C2F65">
      <w:pPr>
        <w:pStyle w:val="EndnoteText"/>
        <w:tabs>
          <w:tab w:val="left" w:pos="-720"/>
        </w:tabs>
        <w:suppressAutoHyphens/>
        <w:rPr>
          <w:rFonts w:ascii="Arial" w:hAnsi="Arial" w:cs="Arial"/>
          <w:szCs w:val="24"/>
        </w:rPr>
      </w:pPr>
      <w:r w:rsidRPr="00216EF8">
        <w:rPr>
          <w:rFonts w:ascii="Arial" w:hAnsi="Arial" w:cs="Arial"/>
          <w:szCs w:val="24"/>
        </w:rPr>
        <w:t>Dated …………… ……………………………………………………</w:t>
      </w:r>
    </w:p>
    <w:p w:rsidR="002C2F65" w:rsidRDefault="002C2F65" w:rsidP="002C2F65">
      <w:pPr>
        <w:pStyle w:val="EndnoteText"/>
        <w:tabs>
          <w:tab w:val="left" w:pos="-720"/>
        </w:tabs>
        <w:suppressAutoHyphens/>
        <w:rPr>
          <w:rFonts w:ascii="Arial" w:hAnsi="Arial" w:cs="Arial"/>
          <w:szCs w:val="24"/>
        </w:rPr>
      </w:pPr>
    </w:p>
    <w:p w:rsidR="002C2F65" w:rsidRDefault="002C2F65" w:rsidP="002C2F65">
      <w:pPr>
        <w:pStyle w:val="EndnoteText"/>
        <w:tabs>
          <w:tab w:val="left" w:pos="-720"/>
        </w:tabs>
        <w:suppressAutoHyphens/>
        <w:rPr>
          <w:rFonts w:ascii="Arial" w:hAnsi="Arial" w:cs="Arial"/>
          <w:sz w:val="18"/>
          <w:szCs w:val="18"/>
        </w:rPr>
      </w:pPr>
    </w:p>
    <w:p w:rsidR="002C2F65" w:rsidRDefault="002C2F65" w:rsidP="002C2F65">
      <w:pPr>
        <w:pStyle w:val="EndnoteText"/>
        <w:tabs>
          <w:tab w:val="left" w:pos="-720"/>
        </w:tabs>
        <w:suppressAutoHyphens/>
        <w:rPr>
          <w:rFonts w:ascii="Arial" w:hAnsi="Arial" w:cs="Arial"/>
          <w:sz w:val="18"/>
          <w:szCs w:val="18"/>
        </w:rPr>
      </w:pPr>
    </w:p>
    <w:p w:rsidR="002C2F65" w:rsidRPr="005B663A" w:rsidRDefault="002C2F65" w:rsidP="002C2F65">
      <w:pPr>
        <w:pStyle w:val="EndnoteText"/>
        <w:tabs>
          <w:tab w:val="left" w:pos="-720"/>
        </w:tabs>
        <w:suppressAutoHyphens/>
        <w:rPr>
          <w:rFonts w:ascii="Arial" w:hAnsi="Arial" w:cs="Arial"/>
          <w:szCs w:val="24"/>
        </w:rPr>
      </w:pPr>
      <w:r w:rsidRPr="005B663A">
        <w:rPr>
          <w:rFonts w:ascii="Arial" w:hAnsi="Arial" w:cs="Arial"/>
          <w:szCs w:val="24"/>
        </w:rPr>
        <w:t xml:space="preserve">Updated </w:t>
      </w:r>
      <w:r w:rsidR="00DE3EE5">
        <w:rPr>
          <w:rFonts w:ascii="Arial" w:hAnsi="Arial" w:cs="Arial"/>
          <w:szCs w:val="24"/>
        </w:rPr>
        <w:t>April</w:t>
      </w:r>
      <w:r w:rsidR="006F2BB6">
        <w:rPr>
          <w:rFonts w:ascii="Arial" w:hAnsi="Arial" w:cs="Arial"/>
          <w:szCs w:val="24"/>
        </w:rPr>
        <w:t xml:space="preserve"> 2022</w:t>
      </w:r>
    </w:p>
    <w:p w:rsidR="002C2F65" w:rsidRDefault="002C2F65">
      <w:bookmarkStart w:id="0" w:name="_GoBack"/>
      <w:bookmarkEnd w:id="0"/>
    </w:p>
    <w:sectPr w:rsidR="002C2F65" w:rsidSect="005B663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C39"/>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18257D9"/>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5D3631F"/>
    <w:multiLevelType w:val="hybridMultilevel"/>
    <w:tmpl w:val="634E2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BE4142"/>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DB1606E"/>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F5431FE"/>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BB935F3"/>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2BD33CA"/>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AA92B56"/>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B692BF2"/>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F105169"/>
    <w:multiLevelType w:val="multilevel"/>
    <w:tmpl w:val="1B5E6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10"/>
  </w:num>
  <w:num w:numId="7">
    <w:abstractNumId w:val="8"/>
  </w:num>
  <w:num w:numId="8">
    <w:abstractNumId w:val="7"/>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65"/>
    <w:rsid w:val="001E38E5"/>
    <w:rsid w:val="002C2F65"/>
    <w:rsid w:val="003C2929"/>
    <w:rsid w:val="00466CD8"/>
    <w:rsid w:val="005B25DD"/>
    <w:rsid w:val="005B663A"/>
    <w:rsid w:val="006F2BB6"/>
    <w:rsid w:val="00AE7C7D"/>
    <w:rsid w:val="00C42DA0"/>
    <w:rsid w:val="00DE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5"/>
    <w:pPr>
      <w:spacing w:after="0" w:line="240" w:lineRule="auto"/>
    </w:pPr>
    <w:rPr>
      <w:rFonts w:ascii="Times New Roman" w:eastAsia="Times New Roman" w:hAnsi="Times New Roman" w:cs="Times New Roman"/>
      <w:kern w:val="28"/>
      <w:sz w:val="24"/>
      <w:szCs w:val="20"/>
    </w:rPr>
  </w:style>
  <w:style w:type="paragraph" w:styleId="Heading2">
    <w:name w:val="heading 2"/>
    <w:basedOn w:val="Normal"/>
    <w:next w:val="Normal"/>
    <w:link w:val="Heading2Char"/>
    <w:qFormat/>
    <w:rsid w:val="002C2F65"/>
    <w:pPr>
      <w:keepNext/>
      <w:ind w:left="142"/>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2C2F6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C2F6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65"/>
    <w:pPr>
      <w:ind w:left="720"/>
      <w:contextualSpacing/>
    </w:pPr>
  </w:style>
  <w:style w:type="character" w:customStyle="1" w:styleId="Heading2Char">
    <w:name w:val="Heading 2 Char"/>
    <w:basedOn w:val="DefaultParagraphFont"/>
    <w:link w:val="Heading2"/>
    <w:rsid w:val="002C2F65"/>
    <w:rPr>
      <w:rFonts w:ascii="Arial" w:eastAsia="Times New Roman" w:hAnsi="Arial" w:cs="Arial"/>
      <w:b/>
      <w:bCs/>
      <w:kern w:val="28"/>
      <w:szCs w:val="20"/>
    </w:rPr>
  </w:style>
  <w:style w:type="character" w:customStyle="1" w:styleId="Heading3Char">
    <w:name w:val="Heading 3 Char"/>
    <w:basedOn w:val="DefaultParagraphFont"/>
    <w:link w:val="Heading3"/>
    <w:uiPriority w:val="9"/>
    <w:semiHidden/>
    <w:rsid w:val="002C2F65"/>
    <w:rPr>
      <w:rFonts w:asciiTheme="majorHAnsi" w:eastAsiaTheme="majorEastAsia" w:hAnsiTheme="majorHAnsi" w:cstheme="majorBidi"/>
      <w:b/>
      <w:bCs/>
      <w:color w:val="4F81BD" w:themeColor="accent1"/>
      <w:kern w:val="28"/>
      <w:sz w:val="24"/>
      <w:szCs w:val="20"/>
    </w:rPr>
  </w:style>
  <w:style w:type="character" w:customStyle="1" w:styleId="Heading6Char">
    <w:name w:val="Heading 6 Char"/>
    <w:basedOn w:val="DefaultParagraphFont"/>
    <w:link w:val="Heading6"/>
    <w:rsid w:val="002C2F65"/>
    <w:rPr>
      <w:rFonts w:ascii="Times New Roman" w:eastAsia="Times New Roman" w:hAnsi="Times New Roman" w:cs="Times New Roman"/>
      <w:b/>
      <w:bCs/>
      <w:kern w:val="28"/>
    </w:rPr>
  </w:style>
  <w:style w:type="paragraph" w:styleId="EndnoteText">
    <w:name w:val="endnote text"/>
    <w:basedOn w:val="Normal"/>
    <w:link w:val="EndnoteTextChar"/>
    <w:semiHidden/>
    <w:rsid w:val="002C2F65"/>
    <w:pPr>
      <w:widowControl w:val="0"/>
    </w:pPr>
    <w:rPr>
      <w:kern w:val="0"/>
    </w:rPr>
  </w:style>
  <w:style w:type="character" w:customStyle="1" w:styleId="EndnoteTextChar">
    <w:name w:val="Endnote Text Char"/>
    <w:basedOn w:val="DefaultParagraphFont"/>
    <w:link w:val="EndnoteText"/>
    <w:semiHidden/>
    <w:rsid w:val="002C2F6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5"/>
    <w:pPr>
      <w:spacing w:after="0" w:line="240" w:lineRule="auto"/>
    </w:pPr>
    <w:rPr>
      <w:rFonts w:ascii="Times New Roman" w:eastAsia="Times New Roman" w:hAnsi="Times New Roman" w:cs="Times New Roman"/>
      <w:kern w:val="28"/>
      <w:sz w:val="24"/>
      <w:szCs w:val="20"/>
    </w:rPr>
  </w:style>
  <w:style w:type="paragraph" w:styleId="Heading2">
    <w:name w:val="heading 2"/>
    <w:basedOn w:val="Normal"/>
    <w:next w:val="Normal"/>
    <w:link w:val="Heading2Char"/>
    <w:qFormat/>
    <w:rsid w:val="002C2F65"/>
    <w:pPr>
      <w:keepNext/>
      <w:ind w:left="142"/>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2C2F6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C2F6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65"/>
    <w:pPr>
      <w:ind w:left="720"/>
      <w:contextualSpacing/>
    </w:pPr>
  </w:style>
  <w:style w:type="character" w:customStyle="1" w:styleId="Heading2Char">
    <w:name w:val="Heading 2 Char"/>
    <w:basedOn w:val="DefaultParagraphFont"/>
    <w:link w:val="Heading2"/>
    <w:rsid w:val="002C2F65"/>
    <w:rPr>
      <w:rFonts w:ascii="Arial" w:eastAsia="Times New Roman" w:hAnsi="Arial" w:cs="Arial"/>
      <w:b/>
      <w:bCs/>
      <w:kern w:val="28"/>
      <w:szCs w:val="20"/>
    </w:rPr>
  </w:style>
  <w:style w:type="character" w:customStyle="1" w:styleId="Heading3Char">
    <w:name w:val="Heading 3 Char"/>
    <w:basedOn w:val="DefaultParagraphFont"/>
    <w:link w:val="Heading3"/>
    <w:uiPriority w:val="9"/>
    <w:semiHidden/>
    <w:rsid w:val="002C2F65"/>
    <w:rPr>
      <w:rFonts w:asciiTheme="majorHAnsi" w:eastAsiaTheme="majorEastAsia" w:hAnsiTheme="majorHAnsi" w:cstheme="majorBidi"/>
      <w:b/>
      <w:bCs/>
      <w:color w:val="4F81BD" w:themeColor="accent1"/>
      <w:kern w:val="28"/>
      <w:sz w:val="24"/>
      <w:szCs w:val="20"/>
    </w:rPr>
  </w:style>
  <w:style w:type="character" w:customStyle="1" w:styleId="Heading6Char">
    <w:name w:val="Heading 6 Char"/>
    <w:basedOn w:val="DefaultParagraphFont"/>
    <w:link w:val="Heading6"/>
    <w:rsid w:val="002C2F65"/>
    <w:rPr>
      <w:rFonts w:ascii="Times New Roman" w:eastAsia="Times New Roman" w:hAnsi="Times New Roman" w:cs="Times New Roman"/>
      <w:b/>
      <w:bCs/>
      <w:kern w:val="28"/>
    </w:rPr>
  </w:style>
  <w:style w:type="paragraph" w:styleId="EndnoteText">
    <w:name w:val="endnote text"/>
    <w:basedOn w:val="Normal"/>
    <w:link w:val="EndnoteTextChar"/>
    <w:semiHidden/>
    <w:rsid w:val="002C2F65"/>
    <w:pPr>
      <w:widowControl w:val="0"/>
    </w:pPr>
    <w:rPr>
      <w:kern w:val="0"/>
    </w:rPr>
  </w:style>
  <w:style w:type="character" w:customStyle="1" w:styleId="EndnoteTextChar">
    <w:name w:val="Endnote Text Char"/>
    <w:basedOn w:val="DefaultParagraphFont"/>
    <w:link w:val="EndnoteText"/>
    <w:semiHidden/>
    <w:rsid w:val="002C2F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560AA3CA</Template>
  <TotalTime>4</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GARRETT</dc:creator>
  <cp:lastModifiedBy>JONATHAN BURGESS</cp:lastModifiedBy>
  <cp:revision>5</cp:revision>
  <cp:lastPrinted>2021-08-04T10:58:00Z</cp:lastPrinted>
  <dcterms:created xsi:type="dcterms:W3CDTF">2021-09-29T15:09:00Z</dcterms:created>
  <dcterms:modified xsi:type="dcterms:W3CDTF">2022-05-03T15:28:00Z</dcterms:modified>
</cp:coreProperties>
</file>